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100" w:after="100" w:line="240" w:lineRule="auto"/>
        <w:jc w:val="center"/>
        <w:outlineLvl w:val="0"/>
        <w:rPr>
          <w:rFonts w:ascii="Times New Roman" w:cs="Times New Roman" w:hAnsi="Times New Roman" w:eastAsia="Times New Roman"/>
          <w:b w:val="1"/>
          <w:bCs w:val="1"/>
          <w:kern w:val="36"/>
          <w:sz w:val="48"/>
          <w:szCs w:val="48"/>
          <w:u w:val="single"/>
        </w:rPr>
      </w:pPr>
      <w:r>
        <w:rPr>
          <w:rFonts w:ascii="Times New Roman" w:hAnsi="Times New Roman"/>
          <w:b w:val="1"/>
          <w:bCs w:val="1"/>
          <w:kern w:val="36"/>
          <w:sz w:val="48"/>
          <w:szCs w:val="48"/>
          <w:u w:val="single"/>
          <w:rtl w:val="0"/>
          <w:lang w:val="de-DE"/>
        </w:rPr>
        <w:t>ELKHART POLICE DEPARTMENT LATERAL ENTRY PROGRAM</w:t>
      </w:r>
    </w:p>
    <w:p>
      <w:pPr>
        <w:pStyle w:val="List Paragraph"/>
        <w:numPr>
          <w:ilvl w:val="0"/>
          <w:numId w:val="2"/>
        </w:numPr>
        <w:bidi w:val="0"/>
        <w:spacing w:before="100" w:after="10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The Elkhart Police Department has initiated a lateral employment program for qualified full-time sworn law enforcement officers. The premise of the program is to recognize the value of those applicants who have law enforcement experience by providing starting salary/pay incentives, personal days and sign-on bonuses commensurate with an applicant</w:t>
      </w:r>
      <w:r>
        <w:rPr>
          <w:rFonts w:ascii="Times New Roman" w:hAnsi="Times New Roman" w:hint="default"/>
          <w:sz w:val="24"/>
          <w:szCs w:val="24"/>
          <w:rtl w:val="0"/>
          <w:lang w:val="en-US"/>
        </w:rPr>
        <w:t>’</w:t>
      </w:r>
      <w:r>
        <w:rPr>
          <w:rFonts w:ascii="Times New Roman" w:hAnsi="Times New Roman"/>
          <w:sz w:val="24"/>
          <w:szCs w:val="24"/>
          <w:rtl w:val="0"/>
          <w:lang w:val="en-US"/>
        </w:rPr>
        <w:t xml:space="preserve">s police/law enforcement experience and to reduce the hiring time. </w:t>
      </w:r>
    </w:p>
    <w:p>
      <w:pPr>
        <w:pStyle w:val="List Paragraph"/>
        <w:spacing w:before="100" w:after="100" w:line="240" w:lineRule="auto"/>
        <w:ind w:left="1080" w:firstLine="0"/>
        <w:rPr>
          <w:rFonts w:ascii="Times New Roman" w:cs="Times New Roman" w:hAnsi="Times New Roman" w:eastAsia="Times New Roman"/>
          <w:sz w:val="24"/>
          <w:szCs w:val="24"/>
        </w:rPr>
      </w:pPr>
    </w:p>
    <w:p>
      <w:pPr>
        <w:pStyle w:val="List Paragraph"/>
        <w:numPr>
          <w:ilvl w:val="0"/>
          <w:numId w:val="2"/>
        </w:numPr>
        <w:bidi w:val="0"/>
        <w:spacing w:before="100" w:after="10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In order to be considered for employment with this agency, applicants must meet all established pre-employment minimum requirements, as well as successfully complete all testing, screening and background screening components. To be eligible for consideration within the lateral entry program, the applicant must have/had powers of lawful arrest and be authorized to carry a weapon. We will accept applications from individuals employed within any of the following listed categories or agencies of police/law enforcement:</w:t>
      </w:r>
    </w:p>
    <w:p>
      <w:pPr>
        <w:pStyle w:val="Body"/>
        <w:numPr>
          <w:ilvl w:val="0"/>
          <w:numId w:val="4"/>
        </w:numPr>
        <w:bidi w:val="0"/>
        <w:spacing w:before="100" w:after="10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Federal Police/Law Enforcement Agency (does not include military police)</w:t>
      </w:r>
    </w:p>
    <w:p>
      <w:pPr>
        <w:pStyle w:val="Body"/>
        <w:numPr>
          <w:ilvl w:val="0"/>
          <w:numId w:val="4"/>
        </w:numPr>
        <w:bidi w:val="0"/>
        <w:spacing w:before="100" w:after="10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State Police/U.S. Territory Police/Law Enforcement Agency </w:t>
      </w:r>
    </w:p>
    <w:p>
      <w:pPr>
        <w:pStyle w:val="Body"/>
        <w:numPr>
          <w:ilvl w:val="0"/>
          <w:numId w:val="4"/>
        </w:numPr>
        <w:bidi w:val="0"/>
        <w:spacing w:before="100" w:after="10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County Police/Law Enforcement Agency </w:t>
      </w:r>
    </w:p>
    <w:p>
      <w:pPr>
        <w:pStyle w:val="Body"/>
        <w:numPr>
          <w:ilvl w:val="0"/>
          <w:numId w:val="4"/>
        </w:numPr>
        <w:bidi w:val="0"/>
        <w:spacing w:before="100" w:after="10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State/County Sheriff</w:t>
      </w:r>
      <w:r>
        <w:rPr>
          <w:rFonts w:ascii="Times New Roman" w:hAnsi="Times New Roman" w:hint="default"/>
          <w:sz w:val="24"/>
          <w:szCs w:val="24"/>
          <w:rtl w:val="0"/>
          <w:lang w:val="en-US"/>
        </w:rPr>
        <w:t>’</w:t>
      </w:r>
      <w:r>
        <w:rPr>
          <w:rFonts w:ascii="Times New Roman" w:hAnsi="Times New Roman"/>
          <w:sz w:val="24"/>
          <w:szCs w:val="24"/>
          <w:rtl w:val="0"/>
          <w:lang w:val="en-US"/>
        </w:rPr>
        <w:t xml:space="preserve">s Department (does not include those employed exclusively within the area of correction or detention) </w:t>
      </w:r>
    </w:p>
    <w:p>
      <w:pPr>
        <w:pStyle w:val="Body"/>
        <w:numPr>
          <w:ilvl w:val="0"/>
          <w:numId w:val="4"/>
        </w:numPr>
        <w:bidi w:val="0"/>
        <w:spacing w:before="100" w:after="10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City/Police/Law Enforcement Agency </w:t>
      </w:r>
    </w:p>
    <w:p>
      <w:pPr>
        <w:pStyle w:val="Body"/>
        <w:spacing w:before="100" w:after="100"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NOTE:</w:t>
      </w:r>
      <w:r>
        <w:rPr>
          <w:rFonts w:ascii="Times New Roman" w:hAnsi="Times New Roman"/>
          <w:sz w:val="24"/>
          <w:szCs w:val="24"/>
          <w:rtl w:val="0"/>
          <w:lang w:val="en-US"/>
        </w:rPr>
        <w:t xml:space="preserve"> All applicants wanting to be considered for the lateral entry program must possess an Indiana Law Enforcement Academy Certification or be in the process of obtaining, or be eligible to obtain, an I.L.E.A. Law Enforcement Waiver.</w:t>
      </w:r>
    </w:p>
    <w:p>
      <w:pPr>
        <w:pStyle w:val="Body"/>
        <w:spacing w:before="100" w:after="100" w:line="240" w:lineRule="auto"/>
        <w:rPr>
          <w:rFonts w:ascii="Times New Roman" w:cs="Times New Roman" w:hAnsi="Times New Roman" w:eastAsia="Times New Roman"/>
          <w:sz w:val="24"/>
          <w:szCs w:val="24"/>
        </w:rPr>
      </w:pPr>
      <w:r>
        <w:rPr>
          <w:rFonts w:ascii="Times New Roman" w:hAnsi="Times New Roman"/>
          <w:sz w:val="24"/>
          <w:szCs w:val="24"/>
          <w:rtl w:val="0"/>
          <w:lang w:val="en-US"/>
        </w:rPr>
        <w:t>For qualified candidates, the lateral employment program will provide a maximum starting salary/pay incentive up to $72,000.00, 10 personal days and a one-time bonus of $7,500.00 for four (4) years of previous experience. The following is a breakdown of entry-level salaries along with the corresponding number of personal days and sign on bonuses for each level of experience.</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796"/>
        <w:gridCol w:w="1140"/>
        <w:gridCol w:w="2710"/>
        <w:gridCol w:w="2714"/>
      </w:tblGrid>
      <w:tr>
        <w:tblPrEx>
          <w:shd w:val="clear" w:color="auto" w:fill="d0ddef"/>
        </w:tblPrEx>
        <w:trPr>
          <w:trHeight w:val="290" w:hRule="atLeast"/>
        </w:trPr>
        <w:tc>
          <w:tcPr>
            <w:tcW w:type="dxa" w:w="2796"/>
            <w:tcBorders>
              <w:top w:val="nil"/>
              <w:left w:val="nil"/>
              <w:bottom w:val="nil"/>
              <w:right w:val="nil"/>
            </w:tcBorders>
            <w:shd w:val="clear" w:color="auto" w:fill="auto"/>
            <w:tcMar>
              <w:top w:type="dxa" w:w="80"/>
              <w:left w:type="dxa" w:w="80"/>
              <w:bottom w:type="dxa" w:w="80"/>
              <w:right w:type="dxa" w:w="80"/>
            </w:tcMar>
            <w:vAlign w:val="center"/>
          </w:tcPr>
          <w:p/>
        </w:tc>
        <w:tc>
          <w:tcPr>
            <w:tcW w:type="dxa" w:w="1140"/>
            <w:tcBorders>
              <w:top w:val="nil"/>
              <w:left w:val="nil"/>
              <w:bottom w:val="nil"/>
              <w:right w:val="nil"/>
            </w:tcBorders>
            <w:shd w:val="clear" w:color="auto" w:fill="auto"/>
            <w:tcMar>
              <w:top w:type="dxa" w:w="80"/>
              <w:left w:type="dxa" w:w="80"/>
              <w:bottom w:type="dxa" w:w="80"/>
              <w:right w:type="dxa" w:w="80"/>
            </w:tcMar>
            <w:vAlign w:val="center"/>
          </w:tcPr>
          <w:p/>
        </w:tc>
        <w:tc>
          <w:tcPr>
            <w:tcW w:type="dxa" w:w="2710"/>
            <w:tcBorders>
              <w:top w:val="nil"/>
              <w:left w:val="nil"/>
              <w:bottom w:val="nil"/>
              <w:right w:val="nil"/>
            </w:tcBorders>
            <w:shd w:val="clear" w:color="auto" w:fill="auto"/>
            <w:tcMar>
              <w:top w:type="dxa" w:w="80"/>
              <w:left w:type="dxa" w:w="80"/>
              <w:bottom w:type="dxa" w:w="80"/>
              <w:right w:type="dxa" w:w="80"/>
            </w:tcMar>
            <w:vAlign w:val="top"/>
          </w:tcPr>
          <w:p/>
        </w:tc>
        <w:tc>
          <w:tcPr>
            <w:tcW w:type="dxa" w:w="2714"/>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590" w:hRule="atLeast"/>
        </w:trPr>
        <w:tc>
          <w:tcPr>
            <w:tcW w:type="dxa" w:w="2796"/>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pPr>
            <w:r>
              <w:rPr>
                <w:rFonts w:ascii="Times New Roman" w:hAnsi="Times New Roman"/>
                <w:b w:val="1"/>
                <w:bCs w:val="1"/>
                <w:sz w:val="24"/>
                <w:szCs w:val="24"/>
                <w:shd w:val="nil" w:color="auto" w:fill="auto"/>
                <w:rtl w:val="0"/>
                <w:lang w:val="en-US"/>
              </w:rPr>
              <w:t xml:space="preserve">Academy Cert. &amp; up to 2 yr. of Experience: </w:t>
            </w:r>
          </w:p>
        </w:tc>
        <w:tc>
          <w:tcPr>
            <w:tcW w:type="dxa" w:w="1140"/>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pPr>
            <w:r>
              <w:rPr>
                <w:rFonts w:ascii="Times New Roman" w:hAnsi="Times New Roman"/>
                <w:sz w:val="24"/>
                <w:szCs w:val="24"/>
                <w:shd w:val="nil" w:color="auto" w:fill="auto"/>
                <w:rtl w:val="0"/>
                <w:lang w:val="en-US"/>
              </w:rPr>
              <w:t xml:space="preserve"> </w:t>
            </w:r>
          </w:p>
        </w:tc>
        <w:tc>
          <w:tcPr>
            <w:tcW w:type="dxa" w:w="2710"/>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  </w:t>
            </w:r>
          </w:p>
          <w:p>
            <w:pPr>
              <w:pStyle w:val="Body"/>
              <w:bidi w:val="0"/>
              <w:spacing w:after="0" w:line="240" w:lineRule="auto"/>
              <w:ind w:left="0" w:right="0" w:firstLine="0"/>
              <w:jc w:val="left"/>
              <w:rPr>
                <w:rtl w:val="0"/>
              </w:rPr>
            </w:pPr>
            <w:r>
              <w:rPr>
                <w:rFonts w:ascii="Times New Roman" w:hAnsi="Times New Roman"/>
                <w:sz w:val="24"/>
                <w:szCs w:val="24"/>
                <w:shd w:val="nil" w:color="auto" w:fill="auto"/>
                <w:rtl w:val="0"/>
                <w:lang w:val="en-US"/>
              </w:rPr>
              <w:t xml:space="preserve">    3- Personal Days</w:t>
            </w:r>
          </w:p>
        </w:tc>
        <w:tc>
          <w:tcPr>
            <w:tcW w:type="dxa" w:w="2714"/>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rPr>
                <w:rFonts w:ascii="Times New Roman" w:cs="Times New Roman" w:hAnsi="Times New Roman" w:eastAsia="Times New Roman"/>
                <w:sz w:val="24"/>
                <w:szCs w:val="24"/>
                <w:shd w:val="nil" w:color="auto" w:fill="auto"/>
                <w:lang w:val="en-US"/>
              </w:rPr>
            </w:pPr>
          </w:p>
          <w:p>
            <w:pPr>
              <w:pStyle w:val="Body"/>
              <w:bidi w:val="0"/>
              <w:spacing w:after="0" w:line="240" w:lineRule="auto"/>
              <w:ind w:left="0" w:right="0" w:firstLine="0"/>
              <w:jc w:val="left"/>
              <w:rPr>
                <w:rtl w:val="0"/>
              </w:rPr>
            </w:pPr>
            <w:r>
              <w:rPr>
                <w:rFonts w:ascii="Times New Roman" w:hAnsi="Times New Roman"/>
                <w:sz w:val="24"/>
                <w:szCs w:val="24"/>
                <w:shd w:val="nil" w:color="auto" w:fill="auto"/>
                <w:rtl w:val="0"/>
                <w:lang w:val="en-US"/>
              </w:rPr>
              <w:t xml:space="preserve">  $3,000.00</w:t>
            </w:r>
          </w:p>
        </w:tc>
      </w:tr>
      <w:tr>
        <w:tblPrEx>
          <w:shd w:val="clear" w:color="auto" w:fill="d0ddef"/>
        </w:tblPrEx>
        <w:trPr>
          <w:trHeight w:val="590" w:hRule="atLeast"/>
        </w:trPr>
        <w:tc>
          <w:tcPr>
            <w:tcW w:type="dxa" w:w="2796"/>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pPr>
            <w:r>
              <w:rPr>
                <w:rFonts w:ascii="Times New Roman" w:hAnsi="Times New Roman"/>
                <w:b w:val="1"/>
                <w:bCs w:val="1"/>
                <w:sz w:val="24"/>
                <w:szCs w:val="24"/>
                <w:shd w:val="nil" w:color="auto" w:fill="auto"/>
                <w:rtl w:val="0"/>
                <w:lang w:val="en-US"/>
              </w:rPr>
              <w:t>3</w:t>
            </w:r>
            <w:r>
              <w:rPr>
                <w:rFonts w:ascii="Times New Roman" w:hAnsi="Times New Roman" w:hint="default"/>
                <w:b w:val="1"/>
                <w:bCs w:val="1"/>
                <w:sz w:val="24"/>
                <w:szCs w:val="24"/>
                <w:shd w:val="nil" w:color="auto" w:fill="auto"/>
                <w:rtl w:val="0"/>
                <w:lang w:val="en-US"/>
              </w:rPr>
              <w:t> </w:t>
            </w:r>
            <w:r>
              <w:rPr>
                <w:rFonts w:ascii="Times New Roman" w:hAnsi="Times New Roman"/>
                <w:b w:val="1"/>
                <w:bCs w:val="1"/>
                <w:sz w:val="24"/>
                <w:szCs w:val="24"/>
                <w:shd w:val="nil" w:color="auto" w:fill="auto"/>
                <w:rtl w:val="0"/>
                <w:lang w:val="en-US"/>
              </w:rPr>
              <w:t>Years of Experience:</w:t>
            </w:r>
          </w:p>
        </w:tc>
        <w:tc>
          <w:tcPr>
            <w:tcW w:type="dxa" w:w="1140"/>
            <w:tcBorders>
              <w:top w:val="nil"/>
              <w:left w:val="nil"/>
              <w:bottom w:val="nil"/>
              <w:right w:val="nil"/>
            </w:tcBorders>
            <w:shd w:val="clear" w:color="auto" w:fill="auto"/>
            <w:tcMar>
              <w:top w:type="dxa" w:w="80"/>
              <w:left w:type="dxa" w:w="80"/>
              <w:bottom w:type="dxa" w:w="80"/>
              <w:right w:type="dxa" w:w="80"/>
            </w:tcMar>
            <w:vAlign w:val="center"/>
          </w:tcPr>
          <w:p/>
        </w:tc>
        <w:tc>
          <w:tcPr>
            <w:tcW w:type="dxa" w:w="2710"/>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   </w:t>
            </w:r>
          </w:p>
          <w:p>
            <w:pPr>
              <w:pStyle w:val="Body"/>
              <w:bidi w:val="0"/>
              <w:spacing w:after="0" w:line="240" w:lineRule="auto"/>
              <w:ind w:left="0" w:right="0" w:firstLine="0"/>
              <w:jc w:val="left"/>
              <w:rPr>
                <w:rtl w:val="0"/>
              </w:rPr>
            </w:pPr>
            <w:r>
              <w:rPr>
                <w:rFonts w:ascii="Times New Roman" w:hAnsi="Times New Roman"/>
                <w:sz w:val="24"/>
                <w:szCs w:val="24"/>
                <w:shd w:val="nil" w:color="auto" w:fill="auto"/>
                <w:rtl w:val="0"/>
                <w:lang w:val="en-US"/>
              </w:rPr>
              <w:t xml:space="preserve">    5- Personal Days</w:t>
            </w:r>
          </w:p>
        </w:tc>
        <w:tc>
          <w:tcPr>
            <w:tcW w:type="dxa" w:w="2714"/>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rPr>
                <w:rFonts w:ascii="Times New Roman" w:cs="Times New Roman" w:hAnsi="Times New Roman" w:eastAsia="Times New Roman"/>
                <w:sz w:val="24"/>
                <w:szCs w:val="24"/>
                <w:shd w:val="nil" w:color="auto" w:fill="auto"/>
                <w:lang w:val="en-US"/>
              </w:rPr>
            </w:pPr>
          </w:p>
          <w:p>
            <w:pPr>
              <w:pStyle w:val="Body"/>
              <w:bidi w:val="0"/>
              <w:spacing w:after="0" w:line="240" w:lineRule="auto"/>
              <w:ind w:left="0" w:right="0" w:firstLine="0"/>
              <w:jc w:val="left"/>
              <w:rPr>
                <w:rtl w:val="0"/>
              </w:rPr>
            </w:pPr>
            <w:r>
              <w:rPr>
                <w:rFonts w:ascii="Times New Roman" w:hAnsi="Times New Roman"/>
                <w:sz w:val="24"/>
                <w:szCs w:val="24"/>
                <w:shd w:val="nil" w:color="auto" w:fill="auto"/>
                <w:rtl w:val="0"/>
                <w:lang w:val="en-US"/>
              </w:rPr>
              <w:t xml:space="preserve">  $5,000.00</w:t>
            </w:r>
          </w:p>
        </w:tc>
      </w:tr>
      <w:tr>
        <w:tblPrEx>
          <w:shd w:val="clear" w:color="auto" w:fill="d0ddef"/>
        </w:tblPrEx>
        <w:trPr>
          <w:trHeight w:val="590" w:hRule="atLeast"/>
        </w:trPr>
        <w:tc>
          <w:tcPr>
            <w:tcW w:type="dxa" w:w="2796"/>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pPr>
            <w:r>
              <w:rPr>
                <w:rFonts w:ascii="Times New Roman" w:hAnsi="Times New Roman"/>
                <w:b w:val="1"/>
                <w:bCs w:val="1"/>
                <w:sz w:val="24"/>
                <w:szCs w:val="24"/>
                <w:shd w:val="nil" w:color="auto" w:fill="auto"/>
                <w:rtl w:val="0"/>
                <w:lang w:val="en-US"/>
              </w:rPr>
              <w:t>4 or more Years of Experience:</w:t>
            </w:r>
          </w:p>
        </w:tc>
        <w:tc>
          <w:tcPr>
            <w:tcW w:type="dxa" w:w="1140"/>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pPr>
            <w:r>
              <w:rPr>
                <w:rFonts w:ascii="Times New Roman" w:hAnsi="Times New Roman"/>
                <w:sz w:val="24"/>
                <w:szCs w:val="24"/>
                <w:shd w:val="nil" w:color="auto" w:fill="auto"/>
                <w:rtl w:val="0"/>
                <w:lang w:val="en-US"/>
              </w:rPr>
              <w:t xml:space="preserve"> </w:t>
            </w:r>
          </w:p>
        </w:tc>
        <w:tc>
          <w:tcPr>
            <w:tcW w:type="dxa" w:w="2710"/>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  </w:t>
            </w:r>
          </w:p>
          <w:p>
            <w:pPr>
              <w:pStyle w:val="Body"/>
              <w:bidi w:val="0"/>
              <w:spacing w:after="0" w:line="240" w:lineRule="auto"/>
              <w:ind w:left="0" w:right="0" w:firstLine="0"/>
              <w:jc w:val="left"/>
              <w:rPr>
                <w:rtl w:val="0"/>
              </w:rPr>
            </w:pPr>
            <w:r>
              <w:rPr>
                <w:rFonts w:ascii="Times New Roman" w:hAnsi="Times New Roman"/>
                <w:sz w:val="24"/>
                <w:szCs w:val="24"/>
                <w:shd w:val="nil" w:color="auto" w:fill="auto"/>
                <w:rtl w:val="0"/>
                <w:lang w:val="en-US"/>
              </w:rPr>
              <w:t xml:space="preserve">   10-Personal Days</w:t>
            </w:r>
          </w:p>
        </w:tc>
        <w:tc>
          <w:tcPr>
            <w:tcW w:type="dxa" w:w="2714"/>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rPr>
                <w:rFonts w:ascii="Times New Roman" w:cs="Times New Roman" w:hAnsi="Times New Roman" w:eastAsia="Times New Roman"/>
                <w:sz w:val="24"/>
                <w:szCs w:val="24"/>
                <w:shd w:val="nil" w:color="auto" w:fill="auto"/>
                <w:lang w:val="en-US"/>
              </w:rPr>
            </w:pPr>
          </w:p>
          <w:p>
            <w:pPr>
              <w:pStyle w:val="Body"/>
              <w:bidi w:val="0"/>
              <w:spacing w:after="0" w:line="240" w:lineRule="auto"/>
              <w:ind w:left="0" w:right="0" w:firstLine="0"/>
              <w:jc w:val="left"/>
              <w:rPr>
                <w:rtl w:val="0"/>
              </w:rPr>
            </w:pPr>
            <w:r>
              <w:rPr>
                <w:rFonts w:ascii="Times New Roman" w:hAnsi="Times New Roman"/>
                <w:sz w:val="24"/>
                <w:szCs w:val="24"/>
                <w:shd w:val="nil" w:color="auto" w:fill="auto"/>
                <w:rtl w:val="0"/>
                <w:lang w:val="en-US"/>
              </w:rPr>
              <w:t xml:space="preserve">  $7,500.00</w:t>
            </w:r>
          </w:p>
        </w:tc>
      </w:tr>
      <w:tr>
        <w:tblPrEx>
          <w:shd w:val="clear" w:color="auto" w:fill="d0ddef"/>
        </w:tblPrEx>
        <w:trPr>
          <w:trHeight w:val="290" w:hRule="atLeast"/>
        </w:trPr>
        <w:tc>
          <w:tcPr>
            <w:tcW w:type="dxa" w:w="2796"/>
            <w:tcBorders>
              <w:top w:val="nil"/>
              <w:left w:val="nil"/>
              <w:bottom w:val="nil"/>
              <w:right w:val="nil"/>
            </w:tcBorders>
            <w:shd w:val="clear" w:color="auto" w:fill="auto"/>
            <w:tcMar>
              <w:top w:type="dxa" w:w="80"/>
              <w:left w:type="dxa" w:w="80"/>
              <w:bottom w:type="dxa" w:w="80"/>
              <w:right w:type="dxa" w:w="80"/>
            </w:tcMar>
            <w:vAlign w:val="center"/>
          </w:tcPr>
          <w:p/>
        </w:tc>
        <w:tc>
          <w:tcPr>
            <w:tcW w:type="dxa" w:w="1140"/>
            <w:tcBorders>
              <w:top w:val="nil"/>
              <w:left w:val="nil"/>
              <w:bottom w:val="nil"/>
              <w:right w:val="nil"/>
            </w:tcBorders>
            <w:shd w:val="clear" w:color="auto" w:fill="auto"/>
            <w:tcMar>
              <w:top w:type="dxa" w:w="80"/>
              <w:left w:type="dxa" w:w="80"/>
              <w:bottom w:type="dxa" w:w="80"/>
              <w:right w:type="dxa" w:w="80"/>
            </w:tcMar>
            <w:vAlign w:val="center"/>
          </w:tcPr>
          <w:p/>
        </w:tc>
        <w:tc>
          <w:tcPr>
            <w:tcW w:type="dxa" w:w="2710"/>
            <w:tcBorders>
              <w:top w:val="nil"/>
              <w:left w:val="nil"/>
              <w:bottom w:val="nil"/>
              <w:right w:val="nil"/>
            </w:tcBorders>
            <w:shd w:val="clear" w:color="auto" w:fill="auto"/>
            <w:tcMar>
              <w:top w:type="dxa" w:w="80"/>
              <w:left w:type="dxa" w:w="80"/>
              <w:bottom w:type="dxa" w:w="80"/>
              <w:right w:type="dxa" w:w="80"/>
            </w:tcMar>
            <w:vAlign w:val="top"/>
          </w:tcPr>
          <w:p/>
        </w:tc>
        <w:tc>
          <w:tcPr>
            <w:tcW w:type="dxa" w:w="2714"/>
            <w:tcBorders>
              <w:top w:val="nil"/>
              <w:left w:val="nil"/>
              <w:bottom w:val="nil"/>
              <w:right w:val="nil"/>
            </w:tcBorders>
            <w:shd w:val="clear" w:color="auto" w:fill="auto"/>
            <w:tcMar>
              <w:top w:type="dxa" w:w="80"/>
              <w:left w:type="dxa" w:w="80"/>
              <w:bottom w:type="dxa" w:w="80"/>
              <w:right w:type="dxa" w:w="80"/>
            </w:tcMar>
            <w:vAlign w:val="top"/>
          </w:tcPr>
          <w:p/>
        </w:tc>
      </w:tr>
    </w:tbl>
    <w:p>
      <w:pPr>
        <w:pStyle w:val="Body"/>
        <w:widowControl w:val="0"/>
        <w:spacing w:before="100" w:after="100" w:line="240" w:lineRule="auto"/>
        <w:rPr>
          <w:rFonts w:ascii="Times New Roman" w:cs="Times New Roman" w:hAnsi="Times New Roman" w:eastAsia="Times New Roman"/>
          <w:sz w:val="24"/>
          <w:szCs w:val="24"/>
        </w:rPr>
      </w:pPr>
    </w:p>
    <w:p>
      <w:pPr>
        <w:pStyle w:val="Body"/>
        <w:spacing w:before="100" w:after="10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The calculation for years of service </w:t>
      </w:r>
      <w:r>
        <w:rPr>
          <w:rFonts w:ascii="Times New Roman" w:hAnsi="Times New Roman"/>
          <w:b w:val="1"/>
          <w:bCs w:val="1"/>
          <w:sz w:val="24"/>
          <w:szCs w:val="24"/>
          <w:rtl w:val="0"/>
          <w:lang w:val="en-US"/>
        </w:rPr>
        <w:t>will not</w:t>
      </w:r>
      <w:r>
        <w:rPr>
          <w:rFonts w:ascii="Times New Roman" w:hAnsi="Times New Roman"/>
          <w:sz w:val="24"/>
          <w:szCs w:val="24"/>
          <w:rtl w:val="0"/>
          <w:lang w:val="en-US"/>
        </w:rPr>
        <w:t xml:space="preserve"> include partial/seasonal years of service. Additionally, this does not and will not provide for the lateral transfer of rank or rights to any seniority status.</w:t>
      </w:r>
    </w:p>
    <w:p>
      <w:pPr>
        <w:pStyle w:val="Body"/>
        <w:spacing w:after="0" w:line="240" w:lineRule="auto"/>
        <w:rPr>
          <w:rFonts w:ascii="Times New Roman" w:cs="Times New Roman" w:hAnsi="Times New Roman" w:eastAsia="Times New Roman"/>
          <w:sz w:val="24"/>
          <w:szCs w:val="24"/>
        </w:rPr>
      </w:pPr>
      <w:r>
        <w:rPr>
          <w:rFonts w:ascii="Times New Roman" w:hAnsi="Times New Roman"/>
          <w:outline w:val="0"/>
          <w:color w:val="1e1c1c"/>
          <w:sz w:val="24"/>
          <w:szCs w:val="24"/>
          <w:u w:color="1e1c1c"/>
          <w:rtl w:val="0"/>
          <w:lang w:val="en-US"/>
          <w14:textFill>
            <w14:solidFill>
              <w14:srgbClr w14:val="1E1C1C"/>
            </w14:solidFill>
          </w14:textFill>
        </w:rPr>
        <w:t>A qualified lateral candidate would be eligible to receive a sign-on bonus based upon the number of years of experience they currently possess.  The payments would be distributed in three parts: one-third would be paid upon appointment, one-third would be paid upon successful completion of the field training, and the remaining one-third would be paid upon successful completion of the probationary period (one year).</w:t>
      </w:r>
    </w:p>
    <w:p>
      <w:pPr>
        <w:pStyle w:val="Body"/>
        <w:spacing w:before="100" w:after="100"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NOTE:</w:t>
      </w:r>
      <w:r>
        <w:rPr>
          <w:rFonts w:ascii="Times New Roman" w:hAnsi="Times New Roman"/>
          <w:sz w:val="24"/>
          <w:szCs w:val="24"/>
          <w:rtl w:val="0"/>
          <w:lang w:val="en-US"/>
        </w:rPr>
        <w:t xml:space="preserve"> Applicants wanting to be considered for the lateral entry program must meet the requirements of the 1977 Indiana Police and Fire Pension Fund (</w:t>
      </w:r>
      <w:r>
        <w:rPr>
          <w:rFonts w:ascii="Times New Roman" w:hAnsi="Times New Roman" w:hint="default"/>
          <w:sz w:val="24"/>
          <w:szCs w:val="24"/>
          <w:rtl w:val="0"/>
          <w:lang w:val="en-US"/>
        </w:rPr>
        <w:t>“</w:t>
      </w:r>
      <w:r>
        <w:rPr>
          <w:rFonts w:ascii="Times New Roman" w:hAnsi="Times New Roman"/>
          <w:sz w:val="24"/>
          <w:szCs w:val="24"/>
          <w:rtl w:val="0"/>
          <w:lang w:val="de-DE"/>
        </w:rPr>
        <w:t>PERF</w:t>
      </w:r>
      <w:r>
        <w:rPr>
          <w:rFonts w:ascii="Times New Roman" w:hAnsi="Times New Roman" w:hint="default"/>
          <w:sz w:val="24"/>
          <w:szCs w:val="24"/>
          <w:rtl w:val="0"/>
          <w:lang w:val="en-US"/>
        </w:rPr>
        <w:t>”</w:t>
      </w:r>
      <w:r>
        <w:rPr>
          <w:rFonts w:ascii="Times New Roman" w:hAnsi="Times New Roman"/>
          <w:sz w:val="24"/>
          <w:szCs w:val="24"/>
          <w:rtl w:val="0"/>
          <w:lang w:val="en-US"/>
        </w:rPr>
        <w:t xml:space="preserve">), and be accepted into the Pension Fund. </w:t>
      </w:r>
      <w:r>
        <w:rPr>
          <w:rFonts w:ascii="Times New Roman" w:hAnsi="Times New Roman"/>
          <w:b w:val="1"/>
          <w:bCs w:val="1"/>
          <w:sz w:val="24"/>
          <w:szCs w:val="24"/>
          <w:rtl w:val="0"/>
          <w:lang w:val="en-US"/>
        </w:rPr>
        <w:t>Out of state applicants, and other applicants not currently a member of this fund, must not have reached their 40th birthday upon commencement of employment.</w:t>
      </w:r>
    </w:p>
    <w:p>
      <w:pPr>
        <w:pStyle w:val="Body"/>
        <w:spacing w:before="100" w:after="100" w:line="240" w:lineRule="auto"/>
        <w:rPr>
          <w:rFonts w:ascii="Times New Roman" w:cs="Times New Roman" w:hAnsi="Times New Roman" w:eastAsia="Times New Roman"/>
          <w:sz w:val="24"/>
          <w:szCs w:val="24"/>
        </w:rPr>
      </w:pPr>
      <w:r>
        <w:rPr>
          <w:rFonts w:ascii="Times New Roman" w:hAnsi="Times New Roman"/>
          <w:sz w:val="24"/>
          <w:szCs w:val="24"/>
          <w:rtl w:val="0"/>
          <w:lang w:val="en-US"/>
        </w:rPr>
        <w:t>Another issue of significant importance to applicants considering transferring from one law enforcement agency to another is what training they will be required to complete. Recognizing the importance of this issue to both the applicant as well as to the department, the following training requirements have been established for those applicants employed under our lateral program:</w:t>
      </w:r>
    </w:p>
    <w:p>
      <w:pPr>
        <w:pStyle w:val="Body"/>
        <w:spacing w:after="10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For those applicants possessing Indiana Certification and/or Waivers, we will be requiring the successful completion of an accelerated Field Training Program lasting approximately 8 weeks. In those instances wherein a candidate fails to successfully complete this accelerated Field Training Program, or in those cases wherein the department determines that an applicant requires additional training, completion of the regular Field Training Program may be an option. </w:t>
      </w:r>
      <w:r>
        <w:rPr>
          <w:rFonts w:ascii="Times New Roman" w:hAnsi="Times New Roman"/>
          <w:b w:val="1"/>
          <w:bCs w:val="1"/>
          <w:sz w:val="24"/>
          <w:szCs w:val="24"/>
          <w:rtl w:val="0"/>
          <w:lang w:val="en-US"/>
        </w:rPr>
        <w:t>All applicants</w:t>
      </w:r>
      <w:r>
        <w:rPr>
          <w:rFonts w:ascii="Times New Roman" w:hAnsi="Times New Roman"/>
          <w:sz w:val="24"/>
          <w:szCs w:val="24"/>
          <w:rtl w:val="0"/>
          <w:lang w:val="en-US"/>
        </w:rPr>
        <w:t xml:space="preserve"> accepting employment through this lateral transfer program will be considered </w:t>
      </w:r>
      <w:r>
        <w:rPr>
          <w:rFonts w:ascii="Times New Roman" w:hAnsi="Times New Roman" w:hint="default"/>
          <w:sz w:val="24"/>
          <w:szCs w:val="24"/>
          <w:rtl w:val="0"/>
          <w:lang w:val="en-US"/>
        </w:rPr>
        <w:t>“</w:t>
      </w:r>
      <w:r>
        <w:rPr>
          <w:rFonts w:ascii="Times New Roman" w:hAnsi="Times New Roman"/>
          <w:b w:val="1"/>
          <w:bCs w:val="1"/>
          <w:sz w:val="24"/>
          <w:szCs w:val="24"/>
          <w:rtl w:val="0"/>
          <w:lang w:val="en-US"/>
        </w:rPr>
        <w:t>Probationary Officers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for their first year of service.</w:t>
      </w:r>
    </w:p>
    <w:p>
      <w:pPr>
        <w:pStyle w:val="Body"/>
        <w:spacing w:before="100" w:after="100" w:line="240" w:lineRule="auto"/>
        <w:rPr>
          <w:rFonts w:ascii="Times New Roman" w:cs="Times New Roman" w:hAnsi="Times New Roman" w:eastAsia="Times New Roman"/>
          <w:sz w:val="24"/>
          <w:szCs w:val="24"/>
        </w:rPr>
      </w:pPr>
      <w:r>
        <w:rPr>
          <w:rFonts w:ascii="Times New Roman" w:hAnsi="Times New Roman"/>
          <w:sz w:val="24"/>
          <w:szCs w:val="24"/>
          <w:rtl w:val="0"/>
          <w:lang w:val="en-US"/>
        </w:rPr>
        <w:t>Other concerns, including extra-duty employment and the issuance of take home vehicles, may be addressed upon completion of the 8 week accelerated Field Training Program for those applicants with one (1) or more years of police officer experience.</w:t>
      </w:r>
    </w:p>
    <w:p>
      <w:pPr>
        <w:pStyle w:val="Body"/>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